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5EF8D" w14:textId="77777777" w:rsidR="00C01971" w:rsidRDefault="005D1960" w:rsidP="005D1960">
      <w:pPr>
        <w:jc w:val="center"/>
        <w:rPr>
          <w:b/>
          <w:bCs/>
          <w:u w:val="single"/>
        </w:rPr>
      </w:pPr>
      <w:r w:rsidRPr="005D1960">
        <w:rPr>
          <w:b/>
          <w:bCs/>
          <w:u w:val="single"/>
        </w:rPr>
        <w:t>Topic 6 Educational Policies past questions</w:t>
      </w:r>
    </w:p>
    <w:p w14:paraId="60E39890" w14:textId="77777777" w:rsidR="005D1960" w:rsidRDefault="005D1960" w:rsidP="005D1960">
      <w:pPr>
        <w:jc w:val="center"/>
        <w:rPr>
          <w:b/>
          <w:bCs/>
          <w:u w:val="single"/>
        </w:rPr>
      </w:pPr>
    </w:p>
    <w:p w14:paraId="1660A9D3" w14:textId="77777777" w:rsidR="005D1960" w:rsidRDefault="005D1960" w:rsidP="005D1960">
      <w:pPr>
        <w:rPr>
          <w:u w:val="single"/>
        </w:rPr>
      </w:pPr>
      <w:r>
        <w:rPr>
          <w:u w:val="single"/>
        </w:rPr>
        <w:t>6 markers</w:t>
      </w:r>
    </w:p>
    <w:p w14:paraId="155FD181" w14:textId="77777777" w:rsidR="005D1960" w:rsidRDefault="005D1960" w:rsidP="005D1960">
      <w:pPr>
        <w:pStyle w:val="Default"/>
      </w:pPr>
    </w:p>
    <w:p w14:paraId="17F51124" w14:textId="77777777" w:rsidR="005D1960" w:rsidRDefault="005D1960" w:rsidP="005D1960">
      <w:pPr>
        <w:pStyle w:val="Default"/>
        <w:rPr>
          <w:sz w:val="22"/>
          <w:szCs w:val="22"/>
        </w:rPr>
      </w:pPr>
      <w:r>
        <w:rPr>
          <w:sz w:val="22"/>
          <w:szCs w:val="22"/>
        </w:rPr>
        <w:t xml:space="preserve">Outline three reasons why </w:t>
      </w:r>
      <w:proofErr w:type="gramStart"/>
      <w:r>
        <w:rPr>
          <w:sz w:val="22"/>
          <w:szCs w:val="22"/>
        </w:rPr>
        <w:t>middle class</w:t>
      </w:r>
      <w:proofErr w:type="gramEnd"/>
      <w:r>
        <w:rPr>
          <w:sz w:val="22"/>
          <w:szCs w:val="22"/>
        </w:rPr>
        <w:t xml:space="preserve"> parents are, in general, more successful in accessing better schools for their children than those from more disadvantaged backgrounds</w:t>
      </w:r>
    </w:p>
    <w:p w14:paraId="2F9F4C4C" w14:textId="77777777" w:rsidR="005D1960" w:rsidRDefault="005D1960" w:rsidP="005D1960">
      <w:pPr>
        <w:rPr>
          <w:u w:val="single"/>
        </w:rPr>
      </w:pPr>
    </w:p>
    <w:p w14:paraId="0D3EDE9F" w14:textId="77777777" w:rsidR="005D1960" w:rsidRDefault="005D1960" w:rsidP="005D1960">
      <w:pPr>
        <w:pStyle w:val="Default"/>
      </w:pPr>
    </w:p>
    <w:p w14:paraId="3FEF3987" w14:textId="77777777" w:rsidR="005D1960" w:rsidRDefault="005D1960" w:rsidP="005D1960">
      <w:pPr>
        <w:pStyle w:val="Default"/>
        <w:rPr>
          <w:sz w:val="22"/>
          <w:szCs w:val="22"/>
        </w:rPr>
      </w:pPr>
      <w:r>
        <w:rPr>
          <w:sz w:val="22"/>
          <w:szCs w:val="22"/>
        </w:rPr>
        <w:t xml:space="preserve">Outline three ways in which privatisation has affected the educational system in Britain </w:t>
      </w:r>
    </w:p>
    <w:p w14:paraId="577EB99F" w14:textId="77777777" w:rsidR="005D1960" w:rsidRDefault="005D1960" w:rsidP="005D1960">
      <w:pPr>
        <w:rPr>
          <w:u w:val="single"/>
        </w:rPr>
      </w:pPr>
    </w:p>
    <w:p w14:paraId="33A3F0D7" w14:textId="77777777" w:rsidR="005D1960" w:rsidRDefault="005D1960" w:rsidP="005D1960">
      <w:pPr>
        <w:pStyle w:val="Default"/>
      </w:pPr>
    </w:p>
    <w:p w14:paraId="335B270C" w14:textId="77777777" w:rsidR="005D1960" w:rsidRDefault="005D1960" w:rsidP="005D1960">
      <w:pPr>
        <w:pStyle w:val="Default"/>
        <w:rPr>
          <w:sz w:val="22"/>
          <w:szCs w:val="22"/>
        </w:rPr>
      </w:pPr>
      <w:r>
        <w:rPr>
          <w:sz w:val="22"/>
          <w:szCs w:val="22"/>
        </w:rPr>
        <w:t xml:space="preserve">Outline three ways in which government educational policies have attempted to reduce inequality in achievement between social classes. </w:t>
      </w:r>
    </w:p>
    <w:p w14:paraId="4AF5C103" w14:textId="77777777" w:rsidR="005D1960" w:rsidRDefault="005D1960" w:rsidP="005D1960">
      <w:pPr>
        <w:rPr>
          <w:u w:val="single"/>
        </w:rPr>
      </w:pPr>
    </w:p>
    <w:p w14:paraId="50FA7F22" w14:textId="77777777" w:rsidR="005D1960" w:rsidRDefault="005D1960" w:rsidP="005D1960">
      <w:pPr>
        <w:rPr>
          <w:u w:val="single"/>
        </w:rPr>
      </w:pPr>
      <w:r>
        <w:rPr>
          <w:u w:val="single"/>
        </w:rPr>
        <w:t>4 markers</w:t>
      </w:r>
    </w:p>
    <w:p w14:paraId="34EC1C89" w14:textId="77777777" w:rsidR="005D1960" w:rsidRPr="005D1960" w:rsidRDefault="005D1960" w:rsidP="005D1960">
      <w:pPr>
        <w:autoSpaceDE w:val="0"/>
        <w:autoSpaceDN w:val="0"/>
        <w:adjustRightInd w:val="0"/>
        <w:spacing w:after="0" w:line="240" w:lineRule="auto"/>
        <w:rPr>
          <w:rFonts w:ascii="Century Gothic" w:eastAsiaTheme="minorEastAsia" w:hAnsi="Century Gothic" w:cs="Century Gothic"/>
          <w:color w:val="000000"/>
          <w:sz w:val="24"/>
          <w:szCs w:val="24"/>
          <w:lang w:eastAsia="en-GB"/>
        </w:rPr>
      </w:pPr>
    </w:p>
    <w:p w14:paraId="610F7DCC" w14:textId="77777777" w:rsidR="005D1960" w:rsidRPr="005D1960" w:rsidRDefault="005D1960" w:rsidP="005D1960">
      <w:pPr>
        <w:autoSpaceDE w:val="0"/>
        <w:autoSpaceDN w:val="0"/>
        <w:adjustRightInd w:val="0"/>
        <w:spacing w:after="0" w:line="240" w:lineRule="auto"/>
        <w:rPr>
          <w:rFonts w:ascii="Century Gothic" w:eastAsiaTheme="minorEastAsia" w:hAnsi="Century Gothic" w:cs="Century Gothic"/>
          <w:color w:val="000000"/>
          <w:lang w:eastAsia="en-GB"/>
        </w:rPr>
      </w:pPr>
      <w:r w:rsidRPr="005D1960">
        <w:rPr>
          <w:rFonts w:ascii="Century Gothic" w:eastAsiaTheme="minorEastAsia" w:hAnsi="Century Gothic" w:cs="Century Gothic"/>
          <w:color w:val="000000"/>
          <w:lang w:eastAsia="en-GB"/>
        </w:rPr>
        <w:t>Outline two ways in which globalisation has influenced educational policies.</w:t>
      </w:r>
    </w:p>
    <w:p w14:paraId="2A59E6A2" w14:textId="77777777" w:rsidR="005D1960" w:rsidRDefault="005D1960" w:rsidP="005D1960">
      <w:pPr>
        <w:rPr>
          <w:u w:val="single"/>
        </w:rPr>
      </w:pPr>
    </w:p>
    <w:p w14:paraId="55F1A16D" w14:textId="77777777" w:rsidR="005D1960" w:rsidRDefault="005D1960" w:rsidP="005D1960">
      <w:pPr>
        <w:pStyle w:val="Default"/>
      </w:pPr>
    </w:p>
    <w:p w14:paraId="31CAC4DD" w14:textId="77777777" w:rsidR="005D1960" w:rsidRDefault="005D1960" w:rsidP="005D1960">
      <w:pPr>
        <w:pStyle w:val="Default"/>
        <w:rPr>
          <w:sz w:val="22"/>
          <w:szCs w:val="22"/>
        </w:rPr>
      </w:pPr>
      <w:r>
        <w:rPr>
          <w:sz w:val="22"/>
          <w:szCs w:val="22"/>
        </w:rPr>
        <w:t>Outline two criticisms of the comprehensive school system.</w:t>
      </w:r>
    </w:p>
    <w:p w14:paraId="4AEF2C33" w14:textId="77777777" w:rsidR="005D1960" w:rsidRDefault="005D1960" w:rsidP="005D1960">
      <w:pPr>
        <w:rPr>
          <w:u w:val="single"/>
        </w:rPr>
      </w:pPr>
    </w:p>
    <w:p w14:paraId="547F792B" w14:textId="77777777" w:rsidR="005D1960" w:rsidRPr="005D1960" w:rsidRDefault="005D1960" w:rsidP="005D1960">
      <w:pPr>
        <w:rPr>
          <w:u w:val="single"/>
        </w:rPr>
      </w:pPr>
      <w:r w:rsidRPr="005D1960">
        <w:rPr>
          <w:u w:val="single"/>
        </w:rPr>
        <w:t>10 markers</w:t>
      </w:r>
    </w:p>
    <w:p w14:paraId="39583BE4" w14:textId="77777777" w:rsidR="005D1960" w:rsidRPr="005D1960" w:rsidRDefault="005D1960" w:rsidP="005D1960">
      <w:pPr>
        <w:autoSpaceDE w:val="0"/>
        <w:autoSpaceDN w:val="0"/>
        <w:adjustRightInd w:val="0"/>
        <w:spacing w:after="0" w:line="240" w:lineRule="auto"/>
        <w:rPr>
          <w:rFonts w:ascii="Century Gothic" w:eastAsiaTheme="minorEastAsia" w:hAnsi="Century Gothic" w:cs="Century Gothic"/>
          <w:color w:val="000000"/>
          <w:sz w:val="24"/>
          <w:szCs w:val="24"/>
          <w:lang w:eastAsia="en-GB"/>
        </w:rPr>
      </w:pPr>
    </w:p>
    <w:p w14:paraId="08FE686E" w14:textId="77777777" w:rsidR="005D1960" w:rsidRPr="005D1960" w:rsidRDefault="005D1960" w:rsidP="005D1960">
      <w:pPr>
        <w:autoSpaceDE w:val="0"/>
        <w:autoSpaceDN w:val="0"/>
        <w:adjustRightInd w:val="0"/>
        <w:spacing w:after="0" w:line="240" w:lineRule="auto"/>
        <w:rPr>
          <w:rFonts w:ascii="Century Gothic" w:eastAsiaTheme="minorEastAsia" w:hAnsi="Century Gothic" w:cs="Century Gothic"/>
          <w:color w:val="000000"/>
          <w:lang w:eastAsia="en-GB"/>
        </w:rPr>
      </w:pPr>
      <w:r w:rsidRPr="005D1960">
        <w:rPr>
          <w:rFonts w:ascii="Century Gothic" w:eastAsiaTheme="minorEastAsia" w:hAnsi="Century Gothic" w:cs="Century Gothic"/>
          <w:color w:val="000000"/>
          <w:lang w:eastAsia="en-GB"/>
        </w:rPr>
        <w:t xml:space="preserve">Outline and explain two ways in which globalisation has affected educational policies in the United Kingdom </w:t>
      </w:r>
    </w:p>
    <w:p w14:paraId="22F90C32" w14:textId="77777777" w:rsidR="005D1960" w:rsidRPr="005D1960" w:rsidRDefault="005D1960" w:rsidP="005D1960">
      <w:pPr>
        <w:autoSpaceDE w:val="0"/>
        <w:autoSpaceDN w:val="0"/>
        <w:adjustRightInd w:val="0"/>
        <w:spacing w:after="0" w:line="240" w:lineRule="auto"/>
        <w:rPr>
          <w:rFonts w:ascii="Century Gothic" w:eastAsiaTheme="minorEastAsia" w:hAnsi="Century Gothic" w:cs="Century Gothic"/>
          <w:color w:val="000000"/>
          <w:sz w:val="24"/>
          <w:szCs w:val="24"/>
          <w:lang w:eastAsia="en-GB"/>
        </w:rPr>
      </w:pPr>
    </w:p>
    <w:p w14:paraId="47559189" w14:textId="77777777" w:rsidR="005D1960" w:rsidRPr="005D1960" w:rsidRDefault="005D1960" w:rsidP="005D1960">
      <w:pPr>
        <w:autoSpaceDE w:val="0"/>
        <w:autoSpaceDN w:val="0"/>
        <w:adjustRightInd w:val="0"/>
        <w:spacing w:after="0" w:line="240" w:lineRule="auto"/>
        <w:rPr>
          <w:rFonts w:ascii="Century Gothic" w:eastAsiaTheme="minorEastAsia" w:hAnsi="Century Gothic" w:cs="Century Gothic"/>
          <w:color w:val="000000"/>
          <w:lang w:eastAsia="en-GB"/>
        </w:rPr>
      </w:pPr>
      <w:r w:rsidRPr="005D1960">
        <w:rPr>
          <w:rFonts w:ascii="Century Gothic" w:eastAsiaTheme="minorEastAsia" w:hAnsi="Century Gothic" w:cs="Century Gothic"/>
          <w:color w:val="000000"/>
          <w:lang w:eastAsia="en-GB"/>
        </w:rPr>
        <w:t xml:space="preserve">Outline and explain two ways in which marketization reinforces inequalities and educational outcomes. </w:t>
      </w:r>
    </w:p>
    <w:p w14:paraId="38BD1787" w14:textId="77777777" w:rsidR="005D1960" w:rsidRDefault="005D1960" w:rsidP="005D1960"/>
    <w:p w14:paraId="493C58F4" w14:textId="77777777" w:rsidR="005D1960" w:rsidRDefault="005D1960" w:rsidP="005D1960">
      <w:pPr>
        <w:pStyle w:val="Default"/>
      </w:pPr>
    </w:p>
    <w:p w14:paraId="2B2D6A59" w14:textId="77777777" w:rsidR="005D1960" w:rsidRDefault="005D1960" w:rsidP="005D1960">
      <w:pPr>
        <w:pStyle w:val="Default"/>
        <w:rPr>
          <w:sz w:val="22"/>
          <w:szCs w:val="22"/>
        </w:rPr>
      </w:pPr>
      <w:r>
        <w:rPr>
          <w:sz w:val="22"/>
          <w:szCs w:val="22"/>
        </w:rPr>
        <w:t xml:space="preserve">Outline and explain two ways in which educational policies reinforce inequalities in Educational outcomes. </w:t>
      </w:r>
    </w:p>
    <w:p w14:paraId="0855ACC8" w14:textId="77777777" w:rsidR="005D1960" w:rsidRDefault="005D1960" w:rsidP="005D1960"/>
    <w:p w14:paraId="59D21CF7" w14:textId="77777777" w:rsidR="005D1960" w:rsidRDefault="005D1960" w:rsidP="005D1960">
      <w:pPr>
        <w:pStyle w:val="Default"/>
      </w:pPr>
    </w:p>
    <w:p w14:paraId="6CAE254A" w14:textId="77777777" w:rsidR="005D1960" w:rsidRDefault="005D1960" w:rsidP="005D1960">
      <w:pPr>
        <w:pStyle w:val="Default"/>
        <w:rPr>
          <w:sz w:val="22"/>
          <w:szCs w:val="22"/>
        </w:rPr>
      </w:pPr>
      <w:r>
        <w:rPr>
          <w:sz w:val="22"/>
          <w:szCs w:val="22"/>
        </w:rPr>
        <w:t xml:space="preserve">Outline and explain the effects of two marketization policies. </w:t>
      </w:r>
    </w:p>
    <w:p w14:paraId="6FD987DC" w14:textId="77777777" w:rsidR="005D1960" w:rsidRDefault="005D1960" w:rsidP="005D1960"/>
    <w:p w14:paraId="073DE60E" w14:textId="77777777" w:rsidR="005D1960" w:rsidRDefault="005D1960" w:rsidP="005D1960">
      <w:pPr>
        <w:rPr>
          <w:u w:val="single"/>
        </w:rPr>
      </w:pPr>
    </w:p>
    <w:p w14:paraId="6CAF668C" w14:textId="77777777" w:rsidR="005D1960" w:rsidRDefault="005D1960" w:rsidP="005D1960">
      <w:pPr>
        <w:rPr>
          <w:u w:val="single"/>
        </w:rPr>
      </w:pPr>
    </w:p>
    <w:p w14:paraId="1FFE034B" w14:textId="77777777" w:rsidR="005D1960" w:rsidRDefault="005D1960" w:rsidP="005D1960">
      <w:pPr>
        <w:rPr>
          <w:u w:val="single"/>
        </w:rPr>
      </w:pPr>
      <w:r>
        <w:rPr>
          <w:noProof/>
          <w:u w:val="single"/>
        </w:rPr>
        <w:lastRenderedPageBreak/>
        <mc:AlternateContent>
          <mc:Choice Requires="wps">
            <w:drawing>
              <wp:anchor distT="0" distB="0" distL="114300" distR="114300" simplePos="0" relativeHeight="251659264" behindDoc="0" locked="0" layoutInCell="1" allowOverlap="1" wp14:anchorId="4DFEB8B6" wp14:editId="40010CC9">
                <wp:simplePos x="0" y="0"/>
                <wp:positionH relativeFrom="column">
                  <wp:posOffset>-35305</wp:posOffset>
                </wp:positionH>
                <wp:positionV relativeFrom="paragraph">
                  <wp:posOffset>229483</wp:posOffset>
                </wp:positionV>
                <wp:extent cx="5800615" cy="1193309"/>
                <wp:effectExtent l="0" t="0" r="10160" b="26035"/>
                <wp:wrapNone/>
                <wp:docPr id="1" name="Rectangle 1"/>
                <wp:cNvGraphicFramePr/>
                <a:graphic xmlns:a="http://schemas.openxmlformats.org/drawingml/2006/main">
                  <a:graphicData uri="http://schemas.microsoft.com/office/word/2010/wordprocessingShape">
                    <wps:wsp>
                      <wps:cNvSpPr/>
                      <wps:spPr>
                        <a:xfrm>
                          <a:off x="0" y="0"/>
                          <a:ext cx="5800615" cy="11933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9D32A" id="Rectangle 1" o:spid="_x0000_s1026" style="position:absolute;margin-left:-2.8pt;margin-top:18.05pt;width:456.75pt;height:9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" filled="f" strokecolor="#1f3763 [1604]" strokeweight="1pt"/>
            </w:pict>
          </mc:Fallback>
        </mc:AlternateContent>
      </w:r>
      <w:r>
        <w:rPr>
          <w:u w:val="single"/>
        </w:rPr>
        <w:t>10 markers with item</w:t>
      </w:r>
    </w:p>
    <w:p w14:paraId="6ED12697" w14:textId="77777777" w:rsidR="005D1960" w:rsidRDefault="005D1960" w:rsidP="005D1960">
      <w:pPr>
        <w:pStyle w:val="Default"/>
        <w:rPr>
          <w:i/>
          <w:iCs/>
          <w:sz w:val="22"/>
          <w:szCs w:val="22"/>
        </w:rPr>
      </w:pPr>
      <w:r>
        <w:rPr>
          <w:i/>
          <w:iCs/>
          <w:sz w:val="22"/>
          <w:szCs w:val="22"/>
        </w:rPr>
        <w:t xml:space="preserve">Some government education policies aim to introduce a market into the education system. This is done in part by creating competition among schools to attract people's and their parents to apply for places. Supporters believe that this competition for customers will drive up educational standards. Other educational policies include selection of pupil’s for places and different types of school </w:t>
      </w:r>
      <w:proofErr w:type="gramStart"/>
      <w:r>
        <w:rPr>
          <w:i/>
          <w:iCs/>
          <w:sz w:val="22"/>
          <w:szCs w:val="22"/>
        </w:rPr>
        <w:t>on the basis of</w:t>
      </w:r>
      <w:proofErr w:type="gramEnd"/>
      <w:r>
        <w:rPr>
          <w:i/>
          <w:iCs/>
          <w:sz w:val="22"/>
          <w:szCs w:val="22"/>
        </w:rPr>
        <w:t xml:space="preserve"> their ability as measured through tests and examinations.</w:t>
      </w:r>
    </w:p>
    <w:p w14:paraId="68C26098" w14:textId="77777777" w:rsidR="005D1960" w:rsidRDefault="005D1960" w:rsidP="005D1960">
      <w:pPr>
        <w:pStyle w:val="Default"/>
        <w:rPr>
          <w:sz w:val="22"/>
          <w:szCs w:val="22"/>
        </w:rPr>
      </w:pPr>
    </w:p>
    <w:p w14:paraId="04009D3C" w14:textId="77777777" w:rsidR="005D1960" w:rsidRDefault="005D1960" w:rsidP="005D1960">
      <w:r>
        <w:t>Applying material from item A5, analyse two effects of two government education policies on class differences in achievement.</w:t>
      </w:r>
    </w:p>
    <w:p w14:paraId="269CBD7F" w14:textId="77777777" w:rsidR="005D1960" w:rsidRDefault="005D1960" w:rsidP="005D1960">
      <w:pPr>
        <w:rPr>
          <w:u w:val="single"/>
        </w:rPr>
      </w:pPr>
      <w:r>
        <w:rPr>
          <w:noProof/>
          <w:u w:val="single"/>
        </w:rPr>
        <mc:AlternateContent>
          <mc:Choice Requires="wps">
            <w:drawing>
              <wp:anchor distT="0" distB="0" distL="114300" distR="114300" simplePos="0" relativeHeight="251660288" behindDoc="0" locked="0" layoutInCell="1" allowOverlap="1" wp14:anchorId="03545FBA" wp14:editId="56E91AD7">
                <wp:simplePos x="0" y="0"/>
                <wp:positionH relativeFrom="column">
                  <wp:posOffset>-10592</wp:posOffset>
                </wp:positionH>
                <wp:positionV relativeFrom="paragraph">
                  <wp:posOffset>255564</wp:posOffset>
                </wp:positionV>
                <wp:extent cx="5832390" cy="1433384"/>
                <wp:effectExtent l="0" t="0" r="16510" b="14605"/>
                <wp:wrapNone/>
                <wp:docPr id="2" name="Rectangle 2"/>
                <wp:cNvGraphicFramePr/>
                <a:graphic xmlns:a="http://schemas.openxmlformats.org/drawingml/2006/main">
                  <a:graphicData uri="http://schemas.microsoft.com/office/word/2010/wordprocessingShape">
                    <wps:wsp>
                      <wps:cNvSpPr/>
                      <wps:spPr>
                        <a:xfrm>
                          <a:off x="0" y="0"/>
                          <a:ext cx="5832390" cy="14333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02E65" id="Rectangle 2" o:spid="_x0000_s1026" style="position:absolute;margin-left:-.85pt;margin-top:20.1pt;width:459.25pt;height:11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eegIAAEUFAAAOAAAAZHJzL2Uyb0RvYy54bWysVFFP2zAQfp+0/2D5faRNywYVKapATJMQ&#10;IGDi2Th2E8n2eWe3affrd3bSgADtYVofXNt3993dl+98dr6zhm0VhhZcxadHE86Uk1C3bl3xn49X&#10;X044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" filled="f" strokecolor="#1f3763 [1604]" strokeweight="1pt"/>
            </w:pict>
          </mc:Fallback>
        </mc:AlternateContent>
      </w:r>
      <w:r>
        <w:rPr>
          <w:u w:val="single"/>
        </w:rPr>
        <w:t xml:space="preserve">30 markers </w:t>
      </w:r>
    </w:p>
    <w:p w14:paraId="661E7B8A" w14:textId="77777777" w:rsidR="005D1960" w:rsidRDefault="005D1960" w:rsidP="005D1960">
      <w:pPr>
        <w:pStyle w:val="Default"/>
        <w:rPr>
          <w:i/>
          <w:iCs/>
          <w:sz w:val="22"/>
          <w:szCs w:val="22"/>
        </w:rPr>
      </w:pPr>
      <w:r>
        <w:rPr>
          <w:i/>
          <w:iCs/>
          <w:sz w:val="22"/>
          <w:szCs w:val="22"/>
        </w:rPr>
        <w:t xml:space="preserve">Until the 1980s, most education was provided by elected local education authorities, </w:t>
      </w:r>
      <w:proofErr w:type="gramStart"/>
      <w:r>
        <w:rPr>
          <w:i/>
          <w:iCs/>
          <w:sz w:val="22"/>
          <w:szCs w:val="22"/>
        </w:rPr>
        <w:t>directed</w:t>
      </w:r>
      <w:proofErr w:type="gramEnd"/>
      <w:r>
        <w:rPr>
          <w:i/>
          <w:iCs/>
          <w:sz w:val="22"/>
          <w:szCs w:val="22"/>
        </w:rPr>
        <w:t xml:space="preserve"> and funded by central government. However, the 1988 education Reform Act began the marketization of education, aimed at raising standards buying creasing parental choice and competition between schools. After 2010, there was a substantial move towards the privatisation of education through policies such as the growth of chains of academies run by private businesses. Some sociologists </w:t>
      </w:r>
      <w:proofErr w:type="gramStart"/>
      <w:r>
        <w:rPr>
          <w:i/>
          <w:iCs/>
          <w:sz w:val="22"/>
          <w:szCs w:val="22"/>
        </w:rPr>
        <w:t>claims</w:t>
      </w:r>
      <w:proofErr w:type="gramEnd"/>
      <w:r>
        <w:rPr>
          <w:i/>
          <w:iCs/>
          <w:sz w:val="22"/>
          <w:szCs w:val="22"/>
        </w:rPr>
        <w:t xml:space="preserve"> that the main impact of marketization and privatisation policies has not been to raise standards that to increase educational inequality.</w:t>
      </w:r>
    </w:p>
    <w:p w14:paraId="3A764522" w14:textId="77777777" w:rsidR="005D1960" w:rsidRDefault="005D1960" w:rsidP="005D1960">
      <w:pPr>
        <w:pStyle w:val="Default"/>
        <w:rPr>
          <w:sz w:val="22"/>
          <w:szCs w:val="22"/>
        </w:rPr>
      </w:pPr>
    </w:p>
    <w:p w14:paraId="664707AF" w14:textId="77777777" w:rsidR="005D1960" w:rsidRPr="005D1960" w:rsidRDefault="005D1960" w:rsidP="005D1960">
      <w:pPr>
        <w:rPr>
          <w:u w:val="single"/>
        </w:rPr>
      </w:pPr>
      <w:r>
        <w:t>Applying material from item C1 and your own knowledge, evaluate the claim that marketization and privatisation policies have increased educational inequality.</w:t>
      </w:r>
    </w:p>
    <w:sectPr w:rsidR="005D1960" w:rsidRPr="005D1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0"/>
    <w:rsid w:val="005D1960"/>
    <w:rsid w:val="00775B9C"/>
    <w:rsid w:val="00C7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F5D1"/>
  <w15:chartTrackingRefBased/>
  <w15:docId w15:val="{2510F577-D9B9-4CEE-A3C5-EB2EF66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960"/>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8" ma:contentTypeDescription="Create a new document." ma:contentTypeScope="" ma:versionID="143b42a7aa3be196fe60388bad362b3f">
  <xsd:schema xmlns:xsd="http://www.w3.org/2001/XMLSchema" xmlns:xs="http://www.w3.org/2001/XMLSchema" xmlns:p="http://schemas.microsoft.com/office/2006/metadata/properties" xmlns:ns3="1884b4ca-d172-48fc-934f-c211f0fc4919" targetNamespace="http://schemas.microsoft.com/office/2006/metadata/properties" ma:root="true" ma:fieldsID="c95bc36bf58707ec927f6873038bb119"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CAEA-24E8-44AB-AD58-AD65CE6FA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7873F-1EF7-42C4-9A2D-0750D7DF4EE9}">
  <ds:schemaRefs>
    <ds:schemaRef ds:uri="http://schemas.microsoft.com/sharepoint/v3/contenttype/forms"/>
  </ds:schemaRefs>
</ds:datastoreItem>
</file>

<file path=customXml/itemProps3.xml><?xml version="1.0" encoding="utf-8"?>
<ds:datastoreItem xmlns:ds="http://schemas.openxmlformats.org/officeDocument/2006/customXml" ds:itemID="{BCDEE384-A617-43F9-8C94-4BA4F3FF90FA}">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1884b4ca-d172-48fc-934f-c211f0fc491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1F81EF1-99C1-4601-8FA2-D3DD3B8F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cp:revision>
  <dcterms:created xsi:type="dcterms:W3CDTF">2021-02-01T10:06:00Z</dcterms:created>
  <dcterms:modified xsi:type="dcterms:W3CDTF">2021-02-01T10:15:00Z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