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0F758" w14:textId="77777777" w:rsidR="002927C6" w:rsidRDefault="002927C6" w:rsidP="002927C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179984"/>
      <w:r>
        <w:t>Gateways School</w:t>
      </w:r>
    </w:p>
    <w:p w14:paraId="118DAAA9" w14:textId="314E0328" w:rsidR="002927C6" w:rsidRDefault="002927C6" w:rsidP="002927C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Atomic structure &amp; Bonding</w:t>
      </w:r>
    </w:p>
    <w:p w14:paraId="02D8D803" w14:textId="05C8A0AE" w:rsidR="002927C6" w:rsidRPr="000C19CF" w:rsidRDefault="002927C6" w:rsidP="002927C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1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DF6A7C">
        <w:rPr>
          <w:b/>
          <w:bCs/>
          <w:sz w:val="52"/>
          <w:szCs w:val="52"/>
        </w:rPr>
        <w:t>PPQ</w:t>
      </w:r>
    </w:p>
    <w:bookmarkEnd w:id="1"/>
    <w:p w14:paraId="53E38A8F" w14:textId="2B7CDA10" w:rsidR="002927C6" w:rsidRDefault="002927C6" w:rsidP="002927C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Pr="003F1212">
        <w:rPr>
          <w:sz w:val="28"/>
          <w:szCs w:val="28"/>
        </w:rPr>
        <w:t xml:space="preserve"> marks</w:t>
      </w:r>
    </w:p>
    <w:bookmarkEnd w:id="0"/>
    <w:p w14:paraId="5B4774E1" w14:textId="77777777" w:rsidR="002927C6" w:rsidRDefault="002927C6" w:rsidP="002927C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F5BBFEA" w14:textId="77777777" w:rsidR="002927C6" w:rsidRDefault="002927C6" w:rsidP="002927C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5DDE6E97" w14:textId="77777777" w:rsidR="002927C6" w:rsidRDefault="002927C6" w:rsidP="002927C6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38A19447" w14:textId="77777777" w:rsidR="00C11CAF" w:rsidRDefault="00B2373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38A19448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</w:t>
      </w: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 xml:space="preserve"> shows some data about fundamental particles in an atom.</w:t>
      </w:r>
    </w:p>
    <w:tbl>
      <w:tblPr>
        <w:tblW w:w="0" w:type="auto"/>
        <w:tblInd w:w="10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4"/>
        <w:gridCol w:w="2188"/>
        <w:gridCol w:w="2188"/>
        <w:gridCol w:w="2190"/>
      </w:tblGrid>
      <w:tr w:rsidR="00C11CAF" w14:paraId="38A1944A" w14:textId="77777777">
        <w:tc>
          <w:tcPr>
            <w:tcW w:w="82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449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1</w:t>
            </w:r>
          </w:p>
        </w:tc>
      </w:tr>
      <w:tr w:rsidR="00C11CAF" w14:paraId="38A1944F" w14:textId="77777777"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4B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Particle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4C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proton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4D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neutron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4E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</w:t>
            </w:r>
          </w:p>
        </w:tc>
      </w:tr>
      <w:tr w:rsidR="00C11CAF" w14:paraId="38A19454" w14:textId="77777777"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50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Mass / g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51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1.6725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–24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52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1.6748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–24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53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0.0009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–24</w:t>
            </w:r>
          </w:p>
        </w:tc>
      </w:tr>
    </w:tbl>
    <w:p w14:paraId="38A19455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An atom of hydrogen can be represented as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</w:rPr>
        <w:t>H</w:t>
      </w:r>
    </w:p>
    <w:p w14:paraId="38A19456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data from </w:t>
      </w: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 xml:space="preserve"> to calculate the mass of this hydrogen atom.</w:t>
      </w:r>
    </w:p>
    <w:p w14:paraId="38A19457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A19458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A19459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Which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of the following is a fundamental particle that would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be deflected by an electric field?</w:t>
      </w:r>
    </w:p>
    <w:p w14:paraId="38A1945A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</w:rPr>
        <w:t>     electron</w:t>
      </w:r>
    </w:p>
    <w:p w14:paraId="38A1945B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neutron</w:t>
      </w:r>
    </w:p>
    <w:p w14:paraId="38A1945C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proton</w:t>
      </w:r>
    </w:p>
    <w:p w14:paraId="38A1945D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Write the correct letter,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, in the box.</w:t>
      </w:r>
    </w:p>
    <w:p w14:paraId="38A1945E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A19600" wp14:editId="38A19601">
            <wp:extent cx="5143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  <w:bookmarkStart w:id="2" w:name="_GoBack"/>
      <w:bookmarkEnd w:id="2"/>
    </w:p>
    <w:p w14:paraId="38A1945F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76D36D6" w14:textId="77777777" w:rsidR="002927C6" w:rsidRDefault="002927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14376A" w14:textId="77777777" w:rsidR="002927C6" w:rsidRDefault="002927C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8A19460" w14:textId="53DD6FBB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A naturally occurring sample of the element boron has a relative atomic mass of 10.8.</w:t>
      </w:r>
      <w:r>
        <w:rPr>
          <w:rFonts w:ascii="Arial" w:hAnsi="Arial" w:cs="Arial"/>
        </w:rPr>
        <w:br/>
        <w:t xml:space="preserve">In this sample, boron exists as two isotopes, 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>
        <w:rPr>
          <w:rFonts w:ascii="Arial" w:hAnsi="Arial" w:cs="Arial"/>
        </w:rPr>
        <w:t xml:space="preserve">B and </w:t>
      </w:r>
      <w:r>
        <w:rPr>
          <w:rFonts w:ascii="Arial" w:hAnsi="Arial" w:cs="Arial"/>
          <w:sz w:val="20"/>
          <w:szCs w:val="20"/>
          <w:vertAlign w:val="superscript"/>
        </w:rPr>
        <w:t>11</w:t>
      </w:r>
      <w:r>
        <w:rPr>
          <w:rFonts w:ascii="Arial" w:hAnsi="Arial" w:cs="Arial"/>
        </w:rPr>
        <w:t>B</w:t>
      </w:r>
    </w:p>
    <w:p w14:paraId="38A19461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Calculate the percentage abundance of 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>
        <w:rPr>
          <w:rFonts w:ascii="Arial" w:hAnsi="Arial" w:cs="Arial"/>
        </w:rPr>
        <w:t>B in this naturally occurring sample of boron.</w:t>
      </w:r>
    </w:p>
    <w:p w14:paraId="38A19462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A19463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A19464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A19465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A19466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A19467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8A19468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State, in terms of fundamental particles, why the isotopes 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>
        <w:rPr>
          <w:rFonts w:ascii="Arial" w:hAnsi="Arial" w:cs="Arial"/>
        </w:rPr>
        <w:t xml:space="preserve">B and </w:t>
      </w:r>
      <w:r>
        <w:rPr>
          <w:rFonts w:ascii="Arial" w:hAnsi="Arial" w:cs="Arial"/>
          <w:sz w:val="20"/>
          <w:szCs w:val="20"/>
          <w:vertAlign w:val="superscript"/>
        </w:rPr>
        <w:t>11</w:t>
      </w:r>
      <w:r>
        <w:rPr>
          <w:rFonts w:ascii="Arial" w:hAnsi="Arial" w:cs="Arial"/>
        </w:rPr>
        <w:t>B have similar chemical reactions.</w:t>
      </w:r>
    </w:p>
    <w:p w14:paraId="38A19469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A1946A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A1946B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A1946C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A1946D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Complete </w:t>
      </w:r>
      <w:r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 xml:space="preserve"> by suggesting a value for the third ionisation energy of boron.</w:t>
      </w:r>
    </w:p>
    <w:tbl>
      <w:tblPr>
        <w:tblW w:w="0" w:type="auto"/>
        <w:tblInd w:w="104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1044"/>
        <w:gridCol w:w="1209"/>
        <w:gridCol w:w="1044"/>
        <w:gridCol w:w="1209"/>
        <w:gridCol w:w="1194"/>
      </w:tblGrid>
      <w:tr w:rsidR="00C11CAF" w14:paraId="38A1946F" w14:textId="77777777"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46E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2</w:t>
            </w:r>
          </w:p>
        </w:tc>
      </w:tr>
      <w:tr w:rsidR="00C11CAF" w14:paraId="38A19476" w14:textId="77777777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470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71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72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Second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73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Third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74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Fourth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75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Fifth</w:t>
            </w:r>
          </w:p>
        </w:tc>
      </w:tr>
      <w:tr w:rsidR="00C11CAF" w14:paraId="38A1947D" w14:textId="77777777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77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Ionisation energy / kJ mol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–1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78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79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7A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7B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25 000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1947C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32 800</w:t>
            </w:r>
          </w:p>
        </w:tc>
      </w:tr>
    </w:tbl>
    <w:p w14:paraId="38A1947E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A1947F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Write an equation to show the process that occurs when the </w:t>
      </w:r>
      <w:r>
        <w:rPr>
          <w:rFonts w:ascii="Arial" w:hAnsi="Arial" w:cs="Arial"/>
          <w:b/>
          <w:bCs/>
        </w:rPr>
        <w:t>second</w:t>
      </w:r>
      <w:r>
        <w:rPr>
          <w:rFonts w:ascii="Arial" w:hAnsi="Arial" w:cs="Arial"/>
        </w:rPr>
        <w:t xml:space="preserve"> ionisation energy of boron is measured. Include state symbols in your equation.</w:t>
      </w:r>
    </w:p>
    <w:p w14:paraId="38A19480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81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A19482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Explain why the second ionisation energy of boron is higher than the first ionisation energy of boron.</w:t>
      </w:r>
    </w:p>
    <w:p w14:paraId="38A19483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84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85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A19486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7CF43D8D" w14:textId="77777777" w:rsidR="002927C6" w:rsidRDefault="002927C6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78F3955F" w14:textId="77777777" w:rsidR="002927C6" w:rsidRDefault="002927C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8A19487" w14:textId="40EA560A" w:rsidR="00C11CAF" w:rsidRDefault="00B2373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38A19488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sample of </w:t>
      </w:r>
      <w:proofErr w:type="spellStart"/>
      <w:r>
        <w:rPr>
          <w:rFonts w:ascii="Arial" w:hAnsi="Arial" w:cs="Arial"/>
        </w:rPr>
        <w:t>ethanedioic</w:t>
      </w:r>
      <w:proofErr w:type="spellEnd"/>
      <w:r>
        <w:rPr>
          <w:rFonts w:ascii="Arial" w:hAnsi="Arial" w:cs="Arial"/>
        </w:rPr>
        <w:t xml:space="preserve"> acid was treated with an excess of an unknown alcohol in the presence of a strong acid catalyst. The products of the reaction were separated and analysed in a time of flight (TOF) mass spectrometer. Two peaks were observed at </w:t>
      </w:r>
      <w:r>
        <w:rPr>
          <w:rFonts w:ascii="Arial" w:hAnsi="Arial" w:cs="Arial"/>
          <w:i/>
          <w:iCs/>
        </w:rPr>
        <w:t>m / z</w:t>
      </w:r>
      <w:r>
        <w:rPr>
          <w:rFonts w:ascii="Arial" w:hAnsi="Arial" w:cs="Arial"/>
        </w:rPr>
        <w:t xml:space="preserve"> = 104 and 118.</w:t>
      </w:r>
    </w:p>
    <w:p w14:paraId="38A19489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Identify the species responsible for the two peaks.</w:t>
      </w:r>
    </w:p>
    <w:p w14:paraId="38A1948A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8B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8C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8D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8E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8A1948F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Outline how the TOF mass spectrometer is able to separate these two species to give two peaks.</w:t>
      </w:r>
    </w:p>
    <w:p w14:paraId="38A19490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91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92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93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94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95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96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97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98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38A19499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38A1949A" w14:textId="77777777" w:rsidR="00C11CAF" w:rsidRDefault="00B2373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38A1949B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Fluorine forms compounds with many other elements.</w:t>
      </w:r>
    </w:p>
    <w:p w14:paraId="38A1949C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Fluorine reacts with bromine to form liquid bromine trifluoride (BrF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).</w:t>
      </w:r>
      <w:r>
        <w:rPr>
          <w:rFonts w:ascii="Arial" w:hAnsi="Arial" w:cs="Arial"/>
        </w:rPr>
        <w:br/>
        <w:t>State the type of bond between Br and F in BrF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and state how this bond is formed.</w:t>
      </w:r>
    </w:p>
    <w:p w14:paraId="38A1949D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Type of bond ________________________________________________________</w:t>
      </w:r>
    </w:p>
    <w:p w14:paraId="38A1949E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How bond is formed __________________________________________________</w:t>
      </w:r>
    </w:p>
    <w:p w14:paraId="38A1949F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A0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47E3B16" w14:textId="77777777" w:rsidR="002927C6" w:rsidRDefault="002927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B9ED16" w14:textId="77777777" w:rsidR="002927C6" w:rsidRDefault="002927C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8A194A1" w14:textId="29ADB30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Two molecules of BrF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react to form ions as shown by the following equation.</w:t>
      </w:r>
    </w:p>
    <w:p w14:paraId="38A194A2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5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99"/>
        <w:gridCol w:w="885"/>
        <w:gridCol w:w="934"/>
        <w:gridCol w:w="800"/>
        <w:gridCol w:w="1084"/>
      </w:tblGrid>
      <w:tr w:rsidR="00C11CAF" w14:paraId="38A194A8" w14:textId="77777777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8A194A3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2BrF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8A194A4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bscript"/>
              </w:rPr>
              <w:drawing>
                <wp:inline distT="0" distB="0" distL="0" distR="0" wp14:anchorId="38A19602" wp14:editId="38A19603">
                  <wp:extent cx="466725" cy="95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8A194A5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BrF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8" w:type="dxa"/>
              <w:right w:w="108" w:type="dxa"/>
            </w:tcMar>
          </w:tcPr>
          <w:p w14:paraId="38A194A6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8A194A7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BrF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</w:p>
        </w:tc>
      </w:tr>
    </w:tbl>
    <w:p w14:paraId="38A194A9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Draw the shape of BrF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and predict its bond angle.</w:t>
      </w:r>
      <w:r>
        <w:rPr>
          <w:rFonts w:ascii="Arial" w:hAnsi="Arial" w:cs="Arial"/>
        </w:rPr>
        <w:br/>
        <w:t>Include any lone pairs of electrons that influence the shape.</w:t>
      </w:r>
    </w:p>
    <w:p w14:paraId="38A194AA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Shape of BrF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38A194AB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A194AC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A194AD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A194AE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Bond angle ___________________________________________________</w:t>
      </w:r>
    </w:p>
    <w:p w14:paraId="38A194AF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8A194B0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Draw the shape of BrF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and predict its bond angle.</w:t>
      </w:r>
      <w:r>
        <w:rPr>
          <w:rFonts w:ascii="Arial" w:hAnsi="Arial" w:cs="Arial"/>
        </w:rPr>
        <w:br/>
        <w:t>Include any lone pairs of electrons that influence the shape.</w:t>
      </w:r>
    </w:p>
    <w:p w14:paraId="38A194B1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Shape of BrF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38A194B2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A194B3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A194B4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A194B5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Bond angle ___________________________________________________</w:t>
      </w:r>
    </w:p>
    <w:p w14:paraId="38A194B6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8A194B7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BrF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ions are also formed when potassium fluoride dissolves in liquid BrF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to form KBrF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bscript"/>
        </w:rPr>
        <w:br/>
      </w:r>
      <w:r>
        <w:rPr>
          <w:rFonts w:ascii="Arial" w:hAnsi="Arial" w:cs="Arial"/>
        </w:rPr>
        <w:t>Explain, in terms of bonding, why KBrF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has a high melting point.</w:t>
      </w:r>
    </w:p>
    <w:p w14:paraId="38A194B8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B9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BA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BB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BC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BD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815A141" w14:textId="77777777" w:rsidR="002927C6" w:rsidRDefault="002927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5E434F" w14:textId="77777777" w:rsidR="002927C6" w:rsidRDefault="002927C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8A194BE" w14:textId="70D82DB4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Fluorine reacts with hydrogen to form hydrogen fluoride (HF).</w:t>
      </w:r>
    </w:p>
    <w:p w14:paraId="38A194BF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State the strongest type of intermolecular force between hydrogen fluoride molecules.</w:t>
      </w:r>
    </w:p>
    <w:p w14:paraId="38A194C0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A194C1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A194C2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Draw a diagram to show how two molecules of hydrogen fluoride are attracted to each other by the type of intermolecular force that you stated in part (d)(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). Include all partial charges and all lone pairs of electrons in your diagram.</w:t>
      </w:r>
    </w:p>
    <w:p w14:paraId="38A194C3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A194C4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A194C5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A194C6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8A194C7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     The boiling points of fluorine and hydrogen fluoride are –188 °C and 19.5 °C respectively.</w:t>
      </w:r>
      <w:r>
        <w:rPr>
          <w:rFonts w:ascii="Arial" w:hAnsi="Arial" w:cs="Arial"/>
        </w:rPr>
        <w:br/>
        <w:t>Explain, in terms of bonding, why the boiling point of fluorine is very low.</w:t>
      </w:r>
    </w:p>
    <w:p w14:paraId="38A194C8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C9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CB" w14:textId="794A1918" w:rsidR="00C11CAF" w:rsidRDefault="002927C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23733">
        <w:rPr>
          <w:rFonts w:ascii="Arial" w:hAnsi="Arial" w:cs="Arial"/>
          <w:b/>
          <w:bCs/>
          <w:sz w:val="20"/>
          <w:szCs w:val="20"/>
        </w:rPr>
        <w:t>(2)</w:t>
      </w:r>
    </w:p>
    <w:p w14:paraId="38A194CC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15 marks)</w:t>
      </w:r>
    </w:p>
    <w:p w14:paraId="38A194CD" w14:textId="77777777" w:rsidR="00C11CAF" w:rsidRDefault="00B2373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38A194CE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 xml:space="preserve">Lithium hydride, </w:t>
      </w:r>
      <w:proofErr w:type="spellStart"/>
      <w:r>
        <w:rPr>
          <w:rFonts w:ascii="Arial" w:hAnsi="Arial" w:cs="Arial"/>
        </w:rPr>
        <w:t>LiH</w:t>
      </w:r>
      <w:proofErr w:type="spellEnd"/>
      <w:r>
        <w:rPr>
          <w:rFonts w:ascii="Arial" w:hAnsi="Arial" w:cs="Arial"/>
        </w:rPr>
        <w:t>, is an ionic compound containing the hydride ion, 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  <w:sz w:val="20"/>
          <w:szCs w:val="20"/>
          <w:vertAlign w:val="superscript"/>
        </w:rPr>
        <w:br/>
      </w:r>
      <w:r>
        <w:rPr>
          <w:rFonts w:ascii="Arial" w:hAnsi="Arial" w:cs="Arial"/>
        </w:rPr>
        <w:t xml:space="preserve">The reaction between </w:t>
      </w:r>
      <w:proofErr w:type="spellStart"/>
      <w:r>
        <w:rPr>
          <w:rFonts w:ascii="Arial" w:hAnsi="Arial" w:cs="Arial"/>
        </w:rPr>
        <w:t>LiH</w:t>
      </w:r>
      <w:proofErr w:type="spellEnd"/>
      <w:r>
        <w:rPr>
          <w:rFonts w:ascii="Arial" w:hAnsi="Arial" w:cs="Arial"/>
        </w:rPr>
        <w:t xml:space="preserve"> and aluminium chloride, AlCl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, produces the ionic compound LiAlH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14:paraId="38A194CF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 xml:space="preserve">(a)     Balance the equation below which represents the reaction between </w:t>
      </w:r>
      <w:proofErr w:type="spellStart"/>
      <w:r>
        <w:rPr>
          <w:rFonts w:ascii="Arial" w:hAnsi="Arial" w:cs="Arial"/>
        </w:rPr>
        <w:t>LiH</w:t>
      </w:r>
      <w:proofErr w:type="spellEnd"/>
      <w:r>
        <w:rPr>
          <w:rFonts w:ascii="Arial" w:hAnsi="Arial" w:cs="Arial"/>
        </w:rPr>
        <w:t xml:space="preserve"> and AlCl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38A194D0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LiH</w:t>
      </w:r>
      <w:proofErr w:type="spellEnd"/>
      <w:r>
        <w:rPr>
          <w:rFonts w:ascii="Arial" w:hAnsi="Arial" w:cs="Arial"/>
        </w:rPr>
        <w:t xml:space="preserve"> +    AlCl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  →</w:t>
      </w:r>
      <w:proofErr w:type="gramEnd"/>
      <w:r>
        <w:rPr>
          <w:rFonts w:ascii="Arial" w:hAnsi="Arial" w:cs="Arial"/>
        </w:rPr>
        <w:t>      LiAlH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   +     LiCl</w:t>
      </w:r>
    </w:p>
    <w:p w14:paraId="38A194D1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A194D2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(b)     Give the electronic configuration of the hydride ion, H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38A194D3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D4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A194D5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Predict the shape of the </w:t>
      </w:r>
      <w:r>
        <w:rPr>
          <w:rFonts w:ascii="Arial" w:hAnsi="Arial" w:cs="Arial"/>
          <w:noProof/>
        </w:rPr>
        <w:drawing>
          <wp:inline distT="0" distB="0" distL="0" distR="0" wp14:anchorId="38A19604" wp14:editId="38A19605">
            <wp:extent cx="34290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ion. Explain why it has this shape.</w:t>
      </w:r>
    </w:p>
    <w:p w14:paraId="38A194D6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Shape </w:t>
      </w:r>
      <w:r>
        <w:rPr>
          <w:rFonts w:ascii="Arial" w:hAnsi="Arial" w:cs="Arial"/>
        </w:rPr>
        <w:t>_____________________________________________________________</w:t>
      </w:r>
    </w:p>
    <w:p w14:paraId="38A194D7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Explanation </w:t>
      </w:r>
      <w:r>
        <w:rPr>
          <w:rFonts w:ascii="Arial" w:hAnsi="Arial" w:cs="Arial"/>
        </w:rPr>
        <w:t>_________________________________________________________</w:t>
      </w:r>
    </w:p>
    <w:p w14:paraId="38A194D8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D9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DA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9C9922D" w14:textId="77777777" w:rsidR="002927C6" w:rsidRDefault="002927C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8A194DB" w14:textId="2AB195B9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A bond in </w:t>
      </w:r>
      <w:r>
        <w:rPr>
          <w:rFonts w:ascii="Arial" w:hAnsi="Arial" w:cs="Arial"/>
          <w:noProof/>
        </w:rPr>
        <w:drawing>
          <wp:inline distT="0" distB="0" distL="0" distR="0" wp14:anchorId="38A19606" wp14:editId="38A19607">
            <wp:extent cx="3429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can be represented by H → Al</w:t>
      </w:r>
    </w:p>
    <w:p w14:paraId="38A194DC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Name this type of bond and explain how it is formed.</w:t>
      </w:r>
    </w:p>
    <w:p w14:paraId="38A194DD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Type of bond </w:t>
      </w:r>
      <w:r>
        <w:rPr>
          <w:rFonts w:ascii="Arial" w:hAnsi="Arial" w:cs="Arial"/>
        </w:rPr>
        <w:t>________________________________________________________</w:t>
      </w:r>
    </w:p>
    <w:p w14:paraId="38A194DE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Explanation </w:t>
      </w:r>
      <w:r>
        <w:rPr>
          <w:rFonts w:ascii="Arial" w:hAnsi="Arial" w:cs="Arial"/>
        </w:rPr>
        <w:t>_________________________________________________________</w:t>
      </w:r>
    </w:p>
    <w:p w14:paraId="38A194DF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E0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E1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8A194E2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38A194E3" w14:textId="77777777" w:rsidR="00C11CAF" w:rsidRDefault="00B2373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38A194E4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Iodine and graphite are both solids. When iodine is heated gently a purple vapour is seen. Graphite will not melt until the temperature reaches 4000 K. Graphite conducts electricity but iodine is a very poor conductor of electricity.</w:t>
      </w:r>
    </w:p>
    <w:p w14:paraId="38A194E5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State the type of crystal structure for each of iodine and graphite.</w:t>
      </w:r>
    </w:p>
    <w:p w14:paraId="38A194E6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E7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E8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E9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EA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8A194EB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  <w:b/>
          <w:bCs/>
        </w:rPr>
        <w:t xml:space="preserve">     </w:t>
      </w:r>
      <w:r>
        <w:rPr>
          <w:rFonts w:ascii="Arial" w:hAnsi="Arial" w:cs="Arial"/>
        </w:rPr>
        <w:t>Describe the structure of and bonding in graphite and explain why the melting point of graphite is very high.</w:t>
      </w:r>
    </w:p>
    <w:p w14:paraId="38A194EC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ED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EE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EF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F0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F1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F2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F3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F4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3BC0CFDE" w14:textId="77777777" w:rsidR="002927C6" w:rsidRDefault="002927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81B17E" w14:textId="77777777" w:rsidR="002927C6" w:rsidRDefault="002927C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8A194F5" w14:textId="6EF343EC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Explain why iodine vaporises when heated gently.</w:t>
      </w:r>
    </w:p>
    <w:p w14:paraId="38A194F6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F7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F8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F9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FA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8A194FB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State why iodine is a very poor conductor of electricity.</w:t>
      </w:r>
    </w:p>
    <w:p w14:paraId="38A194FC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FD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A194FE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A194FF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03E22F3B" w14:textId="77777777" w:rsidR="002927C6" w:rsidRDefault="002927C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8A19500" w14:textId="26B18904" w:rsidR="00C11CAF" w:rsidRDefault="00B2373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38A19501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lists the first ionisation energies (in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) of the elements Mg, Al, Si, P and S in this order?</w:t>
      </w:r>
    </w:p>
    <w:p w14:paraId="38A19502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810"/>
        <w:gridCol w:w="810"/>
        <w:gridCol w:w="810"/>
        <w:gridCol w:w="810"/>
      </w:tblGrid>
      <w:tr w:rsidR="00C11CAF" w14:paraId="38A19509" w14:textId="7777777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3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4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5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6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7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8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</w:tr>
      <w:tr w:rsidR="00C11CAF" w14:paraId="38A19510" w14:textId="7777777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A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B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C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D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E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0F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11CAF" w14:paraId="38A19517" w14:textId="7777777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1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2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3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4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5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6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</w:tr>
      <w:tr w:rsidR="00C11CAF" w14:paraId="38A1951E" w14:textId="7777777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8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9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A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B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C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1D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</w:tc>
      </w:tr>
    </w:tbl>
    <w:p w14:paraId="38A1951F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38A19520" w14:textId="77777777" w:rsidR="00C11CAF" w:rsidRDefault="00B2373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38A19521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 following explains why boron has a lower first ionisation energy than beryllium? </w:t>
      </w:r>
    </w:p>
    <w:p w14:paraId="38A19522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A boron atom is smaller than a beryllium atom.</w:t>
      </w:r>
    </w:p>
    <w:p w14:paraId="38A19523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In beryllium all the electrons are paired in full sub-shells.</w:t>
      </w:r>
    </w:p>
    <w:p w14:paraId="38A19524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A beryllium atom has fewer protons than a boron atom.</w:t>
      </w:r>
    </w:p>
    <w:p w14:paraId="38A19525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In boron the 2</w:t>
      </w:r>
      <w:r>
        <w:rPr>
          <w:rFonts w:ascii="Times New Roman" w:hAnsi="Times New Roman" w:cs="Times New Roman"/>
          <w:i/>
          <w:iCs/>
          <w:sz w:val="26"/>
          <w:szCs w:val="26"/>
        </w:rPr>
        <w:t>p</w:t>
      </w:r>
      <w:r>
        <w:rPr>
          <w:rFonts w:ascii="Arial" w:hAnsi="Arial" w:cs="Arial"/>
        </w:rPr>
        <w:t xml:space="preserve"> electron occupies a higher energy level than a 2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>
        <w:rPr>
          <w:rFonts w:ascii="Arial" w:hAnsi="Arial" w:cs="Arial"/>
        </w:rPr>
        <w:t xml:space="preserve"> electron.</w:t>
      </w:r>
    </w:p>
    <w:p w14:paraId="38A19526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3DAF11FE" w14:textId="77777777" w:rsidR="002927C6" w:rsidRDefault="002927C6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6584A547" w14:textId="77777777" w:rsidR="002927C6" w:rsidRDefault="002927C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8A19527" w14:textId="00520489" w:rsidR="00C11CAF" w:rsidRDefault="00B2373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38A19528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ionisations requires less energy than the first ionisation energy of oxygen?</w:t>
      </w:r>
    </w:p>
    <w:p w14:paraId="38A19529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S(g) → S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(g) + e</w:t>
      </w:r>
      <w:r>
        <w:rPr>
          <w:rFonts w:ascii="Arial" w:hAnsi="Arial" w:cs="Arial"/>
          <w:sz w:val="20"/>
          <w:szCs w:val="20"/>
          <w:vertAlign w:val="superscript"/>
        </w:rPr>
        <w:t>−</w:t>
      </w:r>
    </w:p>
    <w:p w14:paraId="38A1952A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O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(g) → O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(g) + e</w:t>
      </w:r>
      <w:r>
        <w:rPr>
          <w:rFonts w:ascii="Arial" w:hAnsi="Arial" w:cs="Arial"/>
          <w:sz w:val="20"/>
          <w:szCs w:val="20"/>
          <w:vertAlign w:val="superscript"/>
        </w:rPr>
        <w:t>−</w:t>
      </w:r>
    </w:p>
    <w:p w14:paraId="38A1952B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N(g) → N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(g) + e</w:t>
      </w:r>
      <w:r>
        <w:rPr>
          <w:rFonts w:ascii="Arial" w:hAnsi="Arial" w:cs="Arial"/>
          <w:sz w:val="20"/>
          <w:szCs w:val="20"/>
          <w:vertAlign w:val="superscript"/>
        </w:rPr>
        <w:t>−</w:t>
      </w:r>
    </w:p>
    <w:p w14:paraId="38A1952C" w14:textId="77777777" w:rsidR="00C11CAF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F(g) → F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(g) + e</w:t>
      </w:r>
      <w:r>
        <w:rPr>
          <w:rFonts w:ascii="Arial" w:hAnsi="Arial" w:cs="Arial"/>
          <w:sz w:val="20"/>
          <w:szCs w:val="20"/>
          <w:vertAlign w:val="superscript"/>
        </w:rPr>
        <w:t>−</w:t>
      </w:r>
    </w:p>
    <w:p w14:paraId="38A1952D" w14:textId="77777777" w:rsidR="00C11CAF" w:rsidRDefault="00B23733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38A1952E" w14:textId="77777777" w:rsidR="00C11CAF" w:rsidRDefault="00B2373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38A1952F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which one of the following pairs is the first ionisation energy of element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 xml:space="preserve"> greater than that of element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?</w:t>
      </w:r>
    </w:p>
    <w:p w14:paraId="38A19530" w14:textId="77777777" w:rsidR="00C11CAF" w:rsidRDefault="00B237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7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  <w:gridCol w:w="2800"/>
        <w:gridCol w:w="2400"/>
      </w:tblGrid>
      <w:tr w:rsidR="00C11CAF" w14:paraId="38A19534" w14:textId="77777777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1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2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electronic configuration</w:t>
            </w:r>
            <w:r>
              <w:rPr>
                <w:rFonts w:ascii="Arial" w:hAnsi="Arial" w:cs="Arial"/>
              </w:rPr>
              <w:br/>
              <w:t xml:space="preserve">of element </w:t>
            </w: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3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electronic configuration</w:t>
            </w:r>
            <w:r>
              <w:rPr>
                <w:rFonts w:ascii="Arial" w:hAnsi="Arial" w:cs="Arial"/>
              </w:rPr>
              <w:br/>
              <w:t xml:space="preserve">of element </w:t>
            </w:r>
            <w:r>
              <w:rPr>
                <w:rFonts w:ascii="Arial" w:hAnsi="Arial" w:cs="Arial"/>
                <w:b/>
                <w:bCs/>
              </w:rPr>
              <w:t>Y</w:t>
            </w:r>
          </w:p>
        </w:tc>
      </w:tr>
      <w:tr w:rsidR="00C11CAF" w14:paraId="38A19538" w14:textId="77777777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5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6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1s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7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ls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C11CAF" w14:paraId="38A1953C" w14:textId="77777777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9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A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1s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2s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B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ls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>2s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2p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C11CAF" w14:paraId="38A19540" w14:textId="77777777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D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E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1s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2s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>2p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3F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ls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>2s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>2p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C11CAF" w14:paraId="38A19544" w14:textId="77777777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41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42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1s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2s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>2p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A19543" w14:textId="77777777" w:rsidR="00C11CAF" w:rsidRDefault="00B2373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ls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>2s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>2p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</w:rPr>
              <w:t xml:space="preserve"> 3s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</w:tbl>
    <w:p w14:paraId="38A195FF" w14:textId="086F18AB" w:rsidR="00C11CAF" w:rsidRDefault="00B23733" w:rsidP="002927C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C11CAF">
      <w:footerReference w:type="default" r:id="rId9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1961A" w14:textId="77777777" w:rsidR="00C11CAF" w:rsidRDefault="00B23733">
      <w:pPr>
        <w:spacing w:after="0" w:line="240" w:lineRule="auto"/>
      </w:pPr>
      <w:r>
        <w:separator/>
      </w:r>
    </w:p>
  </w:endnote>
  <w:endnote w:type="continuationSeparator" w:id="0">
    <w:p w14:paraId="38A1961B" w14:textId="77777777" w:rsidR="00C11CAF" w:rsidRDefault="00B2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03172889"/>
  <w:p w14:paraId="38A1961D" w14:textId="6493D5A9" w:rsidR="00C11CAF" w:rsidRPr="002927C6" w:rsidRDefault="002927C6" w:rsidP="002927C6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DF6A7C">
      <w:rPr>
        <w:i/>
        <w:iCs/>
        <w:noProof/>
        <w:szCs w:val="18"/>
      </w:rPr>
      <w:t>Atomic structure &amp; Bonding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19618" w14:textId="77777777" w:rsidR="00C11CAF" w:rsidRDefault="00B23733">
      <w:pPr>
        <w:spacing w:after="0" w:line="240" w:lineRule="auto"/>
      </w:pPr>
      <w:r>
        <w:separator/>
      </w:r>
    </w:p>
  </w:footnote>
  <w:footnote w:type="continuationSeparator" w:id="0">
    <w:p w14:paraId="38A19619" w14:textId="77777777" w:rsidR="00C11CAF" w:rsidRDefault="00B23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33"/>
    <w:rsid w:val="002927C6"/>
    <w:rsid w:val="00B23733"/>
    <w:rsid w:val="00C11CAF"/>
    <w:rsid w:val="00D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A19447"/>
  <w14:defaultImageDpi w14:val="0"/>
  <w15:docId w15:val="{C1317F4A-81DF-4DC0-97FD-E929F9AB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2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7C6"/>
  </w:style>
  <w:style w:type="paragraph" w:styleId="Footer">
    <w:name w:val="footer"/>
    <w:basedOn w:val="Normal"/>
    <w:link w:val="FooterChar"/>
    <w:uiPriority w:val="99"/>
    <w:unhideWhenUsed/>
    <w:rsid w:val="00292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7C6"/>
  </w:style>
  <w:style w:type="paragraph" w:customStyle="1" w:styleId="Normal0">
    <w:name w:val="[Normal]"/>
    <w:rsid w:val="002927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2927C6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1065</Words>
  <Characters>8942</Characters>
  <Application>Microsoft Office Word</Application>
  <DocSecurity>0</DocSecurity>
  <Lines>74</Lines>
  <Paragraphs>19</Paragraphs>
  <ScaleCrop>false</ScaleCrop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2022-05-11T08:55:00Z</dcterms:created>
  <dcterms:modified xsi:type="dcterms:W3CDTF">2022-05-12T09:26:00Z</dcterms:modified>
</cp:coreProperties>
</file>