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994C" w14:textId="77777777" w:rsidR="00A3273E" w:rsidRDefault="00A327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7F66" w14:paraId="5539CD17" w14:textId="77777777" w:rsidTr="00917F66">
        <w:tc>
          <w:tcPr>
            <w:tcW w:w="4508" w:type="dxa"/>
          </w:tcPr>
          <w:p w14:paraId="0B2907BB" w14:textId="77777777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  <w:p w14:paraId="0186C752" w14:textId="1B46EE19" w:rsidR="00917F66" w:rsidRPr="00A3273E" w:rsidRDefault="00917F6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3273E">
              <w:rPr>
                <w:rFonts w:cstheme="minorHAnsi"/>
                <w:sz w:val="28"/>
                <w:szCs w:val="28"/>
              </w:rPr>
              <w:t>Gillbourn</w:t>
            </w:r>
            <w:proofErr w:type="spellEnd"/>
            <w:r w:rsidRPr="00A3273E">
              <w:rPr>
                <w:rFonts w:cstheme="minorHAnsi"/>
                <w:sz w:val="28"/>
                <w:szCs w:val="28"/>
              </w:rPr>
              <w:t xml:space="preserve"> and </w:t>
            </w:r>
            <w:proofErr w:type="spellStart"/>
            <w:r w:rsidRPr="00A3273E">
              <w:rPr>
                <w:rFonts w:cstheme="minorHAnsi"/>
                <w:sz w:val="28"/>
                <w:szCs w:val="28"/>
              </w:rPr>
              <w:t>Youdell</w:t>
            </w:r>
            <w:proofErr w:type="spellEnd"/>
          </w:p>
        </w:tc>
        <w:tc>
          <w:tcPr>
            <w:tcW w:w="4508" w:type="dxa"/>
          </w:tcPr>
          <w:p w14:paraId="4CC1CAAB" w14:textId="77777777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  <w:p w14:paraId="3909ADF2" w14:textId="77777777" w:rsidR="00917F66" w:rsidRPr="00A3273E" w:rsidRDefault="00A3273E">
            <w:pPr>
              <w:rPr>
                <w:rFonts w:cstheme="minorHAnsi"/>
                <w:sz w:val="28"/>
                <w:szCs w:val="28"/>
              </w:rPr>
            </w:pPr>
            <w:r w:rsidRPr="00A3273E">
              <w:rPr>
                <w:rFonts w:cstheme="minorHAnsi"/>
                <w:sz w:val="28"/>
                <w:szCs w:val="28"/>
              </w:rPr>
              <w:t xml:space="preserve">Stereotypes and low expectations show black pupils are more likely to go into lower sets. </w:t>
            </w:r>
          </w:p>
          <w:p w14:paraId="2A9946B1" w14:textId="4188D2BF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17F66" w14:paraId="32110DBF" w14:textId="77777777" w:rsidTr="00917F66">
        <w:tc>
          <w:tcPr>
            <w:tcW w:w="4508" w:type="dxa"/>
          </w:tcPr>
          <w:p w14:paraId="47C92E77" w14:textId="77777777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  <w:p w14:paraId="257DDA10" w14:textId="4362FE79" w:rsidR="00917F66" w:rsidRPr="00A3273E" w:rsidRDefault="00917F66">
            <w:pPr>
              <w:rPr>
                <w:rFonts w:cstheme="minorHAnsi"/>
                <w:sz w:val="28"/>
                <w:szCs w:val="28"/>
              </w:rPr>
            </w:pPr>
            <w:r w:rsidRPr="00A3273E">
              <w:rPr>
                <w:rFonts w:cstheme="minorHAnsi"/>
                <w:sz w:val="28"/>
                <w:szCs w:val="28"/>
              </w:rPr>
              <w:t xml:space="preserve">Bereiter and </w:t>
            </w:r>
            <w:proofErr w:type="spellStart"/>
            <w:r w:rsidRPr="00A3273E">
              <w:rPr>
                <w:rFonts w:cstheme="minorHAnsi"/>
                <w:sz w:val="28"/>
                <w:szCs w:val="28"/>
              </w:rPr>
              <w:t>Engleman</w:t>
            </w:r>
            <w:proofErr w:type="spellEnd"/>
            <w:r w:rsidRPr="00A3273E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508" w:type="dxa"/>
          </w:tcPr>
          <w:p w14:paraId="38AA1A41" w14:textId="77777777" w:rsidR="00A3273E" w:rsidRPr="00A3273E" w:rsidRDefault="00A3273E" w:rsidP="00775555">
            <w:pPr>
              <w:rPr>
                <w:rFonts w:cstheme="minorHAnsi"/>
                <w:sz w:val="28"/>
                <w:szCs w:val="28"/>
              </w:rPr>
            </w:pPr>
          </w:p>
          <w:p w14:paraId="46830D0B" w14:textId="77777777" w:rsidR="00917F66" w:rsidRPr="00A3273E" w:rsidRDefault="00775555" w:rsidP="00775555">
            <w:pPr>
              <w:rPr>
                <w:rFonts w:cstheme="minorHAnsi"/>
                <w:sz w:val="28"/>
                <w:szCs w:val="28"/>
              </w:rPr>
            </w:pPr>
            <w:r w:rsidRPr="00A3273E">
              <w:rPr>
                <w:rFonts w:cstheme="minorHAnsi"/>
                <w:sz w:val="28"/>
                <w:szCs w:val="28"/>
              </w:rPr>
              <w:t xml:space="preserve">Language spoken by </w:t>
            </w:r>
            <w:proofErr w:type="gramStart"/>
            <w:r w:rsidRPr="00A3273E">
              <w:rPr>
                <w:rFonts w:cstheme="minorHAnsi"/>
                <w:sz w:val="28"/>
                <w:szCs w:val="28"/>
              </w:rPr>
              <w:t>low income</w:t>
            </w:r>
            <w:proofErr w:type="gramEnd"/>
            <w:r w:rsidRPr="00A3273E">
              <w:rPr>
                <w:rFonts w:cstheme="minorHAnsi"/>
                <w:sz w:val="28"/>
                <w:szCs w:val="28"/>
              </w:rPr>
              <w:t xml:space="preserve"> black American families is not complicated enough for success in education.  ‘</w:t>
            </w:r>
            <w:proofErr w:type="gramStart"/>
            <w:r w:rsidRPr="00A3273E">
              <w:rPr>
                <w:rFonts w:cstheme="minorHAnsi"/>
                <w:sz w:val="28"/>
                <w:szCs w:val="28"/>
              </w:rPr>
              <w:t>ungrammatical</w:t>
            </w:r>
            <w:proofErr w:type="gramEnd"/>
            <w:r w:rsidRPr="00A3273E">
              <w:rPr>
                <w:rFonts w:cstheme="minorHAnsi"/>
                <w:sz w:val="28"/>
                <w:szCs w:val="28"/>
              </w:rPr>
              <w:t xml:space="preserve">, disjointed and incapable of expressing abstract ideas’. </w:t>
            </w:r>
          </w:p>
          <w:p w14:paraId="68236CC7" w14:textId="70BE1045" w:rsidR="00A3273E" w:rsidRPr="00A3273E" w:rsidRDefault="00A3273E" w:rsidP="0077555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17F66" w14:paraId="69879A0D" w14:textId="77777777" w:rsidTr="00917F66">
        <w:tc>
          <w:tcPr>
            <w:tcW w:w="4508" w:type="dxa"/>
          </w:tcPr>
          <w:p w14:paraId="68056D30" w14:textId="77777777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  <w:p w14:paraId="5349311A" w14:textId="2C984114" w:rsidR="00917F66" w:rsidRPr="00A3273E" w:rsidRDefault="00917F66">
            <w:pPr>
              <w:rPr>
                <w:rFonts w:cstheme="minorHAnsi"/>
                <w:sz w:val="28"/>
                <w:szCs w:val="28"/>
              </w:rPr>
            </w:pPr>
            <w:r w:rsidRPr="00A3273E">
              <w:rPr>
                <w:rFonts w:cstheme="minorHAnsi"/>
                <w:sz w:val="28"/>
                <w:szCs w:val="28"/>
              </w:rPr>
              <w:t>Evans</w:t>
            </w:r>
          </w:p>
        </w:tc>
        <w:tc>
          <w:tcPr>
            <w:tcW w:w="4508" w:type="dxa"/>
          </w:tcPr>
          <w:p w14:paraId="6CB9FE15" w14:textId="77777777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  <w:p w14:paraId="036A7AE9" w14:textId="77777777" w:rsidR="00917F66" w:rsidRPr="00A3273E" w:rsidRDefault="00775555">
            <w:pPr>
              <w:rPr>
                <w:rFonts w:cstheme="minorHAnsi"/>
                <w:sz w:val="28"/>
                <w:szCs w:val="28"/>
              </w:rPr>
            </w:pPr>
            <w:r w:rsidRPr="00A3273E">
              <w:rPr>
                <w:rFonts w:cstheme="minorHAnsi"/>
                <w:sz w:val="28"/>
                <w:szCs w:val="28"/>
              </w:rPr>
              <w:t xml:space="preserve">She claims the reason for white </w:t>
            </w:r>
            <w:proofErr w:type="gramStart"/>
            <w:r w:rsidRPr="00A3273E">
              <w:rPr>
                <w:rFonts w:cstheme="minorHAnsi"/>
                <w:sz w:val="28"/>
                <w:szCs w:val="28"/>
              </w:rPr>
              <w:t>working class</w:t>
            </w:r>
            <w:proofErr w:type="gramEnd"/>
            <w:r w:rsidRPr="00A3273E">
              <w:rPr>
                <w:rFonts w:cstheme="minorHAnsi"/>
                <w:sz w:val="28"/>
                <w:szCs w:val="28"/>
              </w:rPr>
              <w:t xml:space="preserve"> underachievement is </w:t>
            </w:r>
            <w:r w:rsidRPr="00A3273E">
              <w:rPr>
                <w:rFonts w:cstheme="minorHAnsi"/>
                <w:sz w:val="28"/>
                <w:szCs w:val="28"/>
              </w:rPr>
              <w:t>that educational success is often not valued by a working-class street culture shaped by both poverty and violence</w:t>
            </w:r>
          </w:p>
          <w:p w14:paraId="39ED8EAF" w14:textId="36555A00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17F66" w14:paraId="5870211A" w14:textId="77777777" w:rsidTr="00917F66">
        <w:tc>
          <w:tcPr>
            <w:tcW w:w="4508" w:type="dxa"/>
          </w:tcPr>
          <w:p w14:paraId="2A83820C" w14:textId="77777777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  <w:p w14:paraId="122DD3B2" w14:textId="597CF9AF" w:rsidR="00917F66" w:rsidRPr="00A3273E" w:rsidRDefault="00917F66">
            <w:pPr>
              <w:rPr>
                <w:rFonts w:cstheme="minorHAnsi"/>
                <w:sz w:val="28"/>
                <w:szCs w:val="28"/>
              </w:rPr>
            </w:pPr>
            <w:r w:rsidRPr="00A3273E">
              <w:rPr>
                <w:rFonts w:cstheme="minorHAnsi"/>
                <w:sz w:val="28"/>
                <w:szCs w:val="28"/>
              </w:rPr>
              <w:t>Lupton</w:t>
            </w:r>
          </w:p>
        </w:tc>
        <w:tc>
          <w:tcPr>
            <w:tcW w:w="4508" w:type="dxa"/>
          </w:tcPr>
          <w:p w14:paraId="5BF99864" w14:textId="77777777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  <w:p w14:paraId="7CF5D8D4" w14:textId="77777777" w:rsidR="00917F66" w:rsidRPr="00A3273E" w:rsidRDefault="00775555">
            <w:pPr>
              <w:rPr>
                <w:rFonts w:cstheme="minorHAnsi"/>
                <w:sz w:val="28"/>
                <w:szCs w:val="28"/>
              </w:rPr>
            </w:pPr>
            <w:r w:rsidRPr="00A3273E">
              <w:rPr>
                <w:rFonts w:cstheme="minorHAnsi"/>
                <w:sz w:val="28"/>
                <w:szCs w:val="28"/>
              </w:rPr>
              <w:t xml:space="preserve">Adult authority in Asian families is </w:t>
            </w:r>
            <w:proofErr w:type="gramStart"/>
            <w:r w:rsidRPr="00A3273E">
              <w:rPr>
                <w:rFonts w:cstheme="minorHAnsi"/>
                <w:sz w:val="28"/>
                <w:szCs w:val="28"/>
              </w:rPr>
              <w:t>similar to</w:t>
            </w:r>
            <w:proofErr w:type="gramEnd"/>
            <w:r w:rsidRPr="00A3273E">
              <w:rPr>
                <w:rFonts w:cstheme="minorHAnsi"/>
                <w:sz w:val="28"/>
                <w:szCs w:val="28"/>
              </w:rPr>
              <w:t xml:space="preserve"> that in school.  White </w:t>
            </w:r>
            <w:proofErr w:type="gramStart"/>
            <w:r w:rsidRPr="00A3273E">
              <w:rPr>
                <w:rFonts w:cstheme="minorHAnsi"/>
                <w:sz w:val="28"/>
                <w:szCs w:val="28"/>
              </w:rPr>
              <w:t>working class</w:t>
            </w:r>
            <w:proofErr w:type="gramEnd"/>
            <w:r w:rsidRPr="00A3273E">
              <w:rPr>
                <w:rFonts w:cstheme="minorHAnsi"/>
                <w:sz w:val="28"/>
                <w:szCs w:val="28"/>
              </w:rPr>
              <w:t xml:space="preserve"> children have poorest behaviour, this is down to lower levels of parental support and negative attitudes towards education.</w:t>
            </w:r>
          </w:p>
          <w:p w14:paraId="031F0785" w14:textId="115820FA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75555" w14:paraId="3A4E5E0C" w14:textId="77777777" w:rsidTr="00917F66">
        <w:tc>
          <w:tcPr>
            <w:tcW w:w="4508" w:type="dxa"/>
          </w:tcPr>
          <w:p w14:paraId="5D92881F" w14:textId="77777777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  <w:p w14:paraId="2B8ABD39" w14:textId="2028F02C" w:rsidR="00775555" w:rsidRPr="00A3273E" w:rsidRDefault="0077555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3273E">
              <w:rPr>
                <w:rFonts w:cstheme="minorHAnsi"/>
                <w:sz w:val="28"/>
                <w:szCs w:val="28"/>
              </w:rPr>
              <w:t>Coard</w:t>
            </w:r>
            <w:proofErr w:type="spellEnd"/>
          </w:p>
        </w:tc>
        <w:tc>
          <w:tcPr>
            <w:tcW w:w="4508" w:type="dxa"/>
          </w:tcPr>
          <w:p w14:paraId="1EC92034" w14:textId="77777777" w:rsidR="00775555" w:rsidRPr="00A3273E" w:rsidRDefault="00775555">
            <w:pPr>
              <w:rPr>
                <w:rFonts w:cstheme="minorHAnsi"/>
                <w:color w:val="3E3E3E"/>
                <w:sz w:val="28"/>
                <w:szCs w:val="28"/>
                <w:shd w:val="clear" w:color="auto" w:fill="FFFFFF"/>
              </w:rPr>
            </w:pPr>
            <w:r w:rsidRPr="00A3273E">
              <w:rPr>
                <w:rFonts w:cstheme="minorHAnsi"/>
                <w:sz w:val="28"/>
                <w:szCs w:val="28"/>
              </w:rPr>
              <w:br/>
            </w:r>
            <w:r w:rsidRPr="00A3273E">
              <w:rPr>
                <w:rFonts w:cstheme="minorHAnsi"/>
                <w:color w:val="3E3E3E"/>
                <w:sz w:val="28"/>
                <w:szCs w:val="28"/>
                <w:shd w:val="clear" w:color="auto" w:fill="FFFFFF"/>
              </w:rPr>
              <w:t>Learning this curriculum alienates minorities</w:t>
            </w:r>
          </w:p>
          <w:p w14:paraId="0489ECCE" w14:textId="197E5680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75555" w14:paraId="3DC609DD" w14:textId="77777777" w:rsidTr="00917F66">
        <w:tc>
          <w:tcPr>
            <w:tcW w:w="4508" w:type="dxa"/>
          </w:tcPr>
          <w:p w14:paraId="2E8785E8" w14:textId="77777777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  <w:p w14:paraId="59C84930" w14:textId="2E091C18" w:rsidR="00775555" w:rsidRPr="00A3273E" w:rsidRDefault="00775555">
            <w:pPr>
              <w:rPr>
                <w:rFonts w:cstheme="minorHAnsi"/>
                <w:sz w:val="28"/>
                <w:szCs w:val="28"/>
              </w:rPr>
            </w:pPr>
            <w:r w:rsidRPr="00A3273E">
              <w:rPr>
                <w:rFonts w:cstheme="minorHAnsi"/>
                <w:sz w:val="28"/>
                <w:szCs w:val="28"/>
              </w:rPr>
              <w:t>Moore and Davenport</w:t>
            </w:r>
          </w:p>
        </w:tc>
        <w:tc>
          <w:tcPr>
            <w:tcW w:w="4508" w:type="dxa"/>
          </w:tcPr>
          <w:p w14:paraId="653ABD55" w14:textId="77777777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  <w:p w14:paraId="06B377D7" w14:textId="77777777" w:rsidR="00775555" w:rsidRPr="00A3273E" w:rsidRDefault="00775555">
            <w:pPr>
              <w:rPr>
                <w:rFonts w:cstheme="minorHAnsi"/>
                <w:sz w:val="28"/>
                <w:szCs w:val="28"/>
              </w:rPr>
            </w:pPr>
            <w:r w:rsidRPr="00A3273E">
              <w:rPr>
                <w:rFonts w:cstheme="minorHAnsi"/>
                <w:sz w:val="28"/>
                <w:szCs w:val="28"/>
              </w:rPr>
              <w:t xml:space="preserve">Selection procedures lead to </w:t>
            </w:r>
            <w:r w:rsidR="00A3273E" w:rsidRPr="00A3273E">
              <w:rPr>
                <w:rFonts w:cstheme="minorHAnsi"/>
                <w:sz w:val="28"/>
                <w:szCs w:val="28"/>
              </w:rPr>
              <w:t xml:space="preserve">ethnic segregation.  Minority pupils fail to get into the best schools.  </w:t>
            </w:r>
          </w:p>
          <w:p w14:paraId="73AC8DBA" w14:textId="24E52B1B" w:rsidR="00A3273E" w:rsidRPr="00A3273E" w:rsidRDefault="00A3273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D4F8553" w14:textId="77777777" w:rsidR="00C01971" w:rsidRDefault="00A3273E"/>
    <w:sectPr w:rsidR="00C01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66"/>
    <w:rsid w:val="00775555"/>
    <w:rsid w:val="00775B9C"/>
    <w:rsid w:val="00917F66"/>
    <w:rsid w:val="00A3273E"/>
    <w:rsid w:val="00C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1F95"/>
  <w15:chartTrackingRefBased/>
  <w15:docId w15:val="{1C143B13-0232-4CE3-A1E3-A65ECBCD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1B96DDB4C5E4093D9A586BF4D7B6B" ma:contentTypeVersion="13" ma:contentTypeDescription="Create a new document." ma:contentTypeScope="" ma:versionID="773117163e457925bf7e597e43deb21b">
  <xsd:schema xmlns:xsd="http://www.w3.org/2001/XMLSchema" xmlns:xs="http://www.w3.org/2001/XMLSchema" xmlns:p="http://schemas.microsoft.com/office/2006/metadata/properties" xmlns:ns3="1884b4ca-d172-48fc-934f-c211f0fc4919" xmlns:ns4="8b6cce57-5574-4c8c-bf87-bfcef3d2ded6" targetNamespace="http://schemas.microsoft.com/office/2006/metadata/properties" ma:root="true" ma:fieldsID="1b4c9f3405b88fe15d8ab67cf3ace4ae" ns3:_="" ns4:_="">
    <xsd:import namespace="1884b4ca-d172-48fc-934f-c211f0fc4919"/>
    <xsd:import namespace="8b6cce57-5574-4c8c-bf87-bfcef3d2d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b4ca-d172-48fc-934f-c211f0fc4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e57-5574-4c8c-bf87-bfcef3d2d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4A0B55-100B-4484-B41E-109BB655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4b4ca-d172-48fc-934f-c211f0fc4919"/>
    <ds:schemaRef ds:uri="8b6cce57-5574-4c8c-bf87-bfcef3d2d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16C69-9305-46C4-985C-22F077AE0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F5ECE-6CE1-43D1-BB28-FDD7D4AC9981}">
  <ds:schemaRefs>
    <ds:schemaRef ds:uri="http://purl.org/dc/elements/1.1/"/>
    <ds:schemaRef ds:uri="http://purl.org/dc/dcmitype/"/>
    <ds:schemaRef ds:uri="1884b4ca-d172-48fc-934f-c211f0fc4919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8b6cce57-5574-4c8c-bf87-bfcef3d2ded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Bromley</dc:creator>
  <cp:keywords/>
  <dc:description/>
  <cp:lastModifiedBy>Helen Bromley</cp:lastModifiedBy>
  <cp:revision>1</cp:revision>
  <dcterms:created xsi:type="dcterms:W3CDTF">2022-04-04T21:01:00Z</dcterms:created>
  <dcterms:modified xsi:type="dcterms:W3CDTF">2022-04-04T21:24:00Z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0x010100C831B96DDB4C5E4093D9A586BF4D7B6B</vt:lpwstr>
  </property>
</Properties>
</file>